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F8" w:rsidRPr="009B42F8" w:rsidRDefault="009B42F8" w:rsidP="009B42F8">
      <w:pPr>
        <w:pBdr>
          <w:top w:val="single" w:sz="2" w:space="0" w:color="D9D9E3"/>
          <w:left w:val="single" w:sz="2" w:space="0" w:color="D9D9E3"/>
          <w:bottom w:val="single" w:sz="2" w:space="0" w:color="D9D9E3"/>
          <w:right w:val="single" w:sz="2" w:space="0" w:color="D9D9E3"/>
        </w:pBdr>
        <w:shd w:val="clear" w:color="auto" w:fill="444654"/>
        <w:spacing w:after="300" w:line="240" w:lineRule="auto"/>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 xml:space="preserve">Thank you for your interest in participating in the audition process for the web movie series, </w:t>
      </w:r>
      <w:r>
        <w:rPr>
          <w:rFonts w:ascii="Segoe UI" w:eastAsia="Times New Roman" w:hAnsi="Segoe UI" w:cs="Segoe UI"/>
          <w:color w:val="D1D5DB"/>
          <w:sz w:val="24"/>
          <w:szCs w:val="24"/>
        </w:rPr>
        <w:t xml:space="preserve">The </w:t>
      </w:r>
      <w:r w:rsidRPr="009B42F8">
        <w:rPr>
          <w:rFonts w:ascii="Segoe UI" w:eastAsia="Times New Roman" w:hAnsi="Segoe UI" w:cs="Segoe UI"/>
          <w:color w:val="D1D5DB"/>
          <w:sz w:val="24"/>
          <w:szCs w:val="24"/>
        </w:rPr>
        <w:t>Hackman, produced by Deep Thoughts Projects. The following terms and conditions outline the rules and regulations that govern your participation in the audition.</w:t>
      </w:r>
    </w:p>
    <w:p w:rsidR="009B42F8" w:rsidRPr="009B42F8" w:rsidRDefault="009B42F8" w:rsidP="009B42F8">
      <w:pPr>
        <w:numPr>
          <w:ilvl w:val="0"/>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Eligibility: The audition is open to all individuals who meet the following criteria:</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Must be at least 18 years old.</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Must have valid ID proof.</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Must have access to a camera and internet connection to submit the audition video.</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 xml:space="preserve">Must be willing to sign a release form granting Deep Thoughts Projects the </w:t>
      </w:r>
      <w:r>
        <w:rPr>
          <w:rFonts w:ascii="Segoe UI" w:eastAsia="Times New Roman" w:hAnsi="Segoe UI" w:cs="Segoe UI"/>
          <w:color w:val="D1D5DB"/>
          <w:sz w:val="24"/>
          <w:szCs w:val="24"/>
        </w:rPr>
        <w:t>right</w:t>
      </w:r>
      <w:r w:rsidRPr="009B42F8">
        <w:rPr>
          <w:rFonts w:ascii="Segoe UI" w:eastAsia="Times New Roman" w:hAnsi="Segoe UI" w:cs="Segoe UI"/>
          <w:color w:val="D1D5DB"/>
          <w:sz w:val="24"/>
          <w:szCs w:val="24"/>
        </w:rPr>
        <w:t xml:space="preserve"> to use the audition video for advertising purposes.</w:t>
      </w:r>
    </w:p>
    <w:p w:rsidR="009B42F8" w:rsidRPr="009B42F8" w:rsidRDefault="009B42F8" w:rsidP="009B42F8">
      <w:pPr>
        <w:numPr>
          <w:ilvl w:val="0"/>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Submission Guidelines:</w:t>
      </w:r>
    </w:p>
    <w:p w:rsidR="009B42F8" w:rsidRPr="009B42F8" w:rsidRDefault="009B42F8" w:rsidP="004A7302">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 xml:space="preserve">The audition video </w:t>
      </w:r>
      <w:r>
        <w:rPr>
          <w:rFonts w:ascii="Segoe UI" w:eastAsia="Times New Roman" w:hAnsi="Segoe UI" w:cs="Segoe UI"/>
          <w:color w:val="D1D5DB"/>
          <w:sz w:val="24"/>
          <w:szCs w:val="24"/>
        </w:rPr>
        <w:t>must</w:t>
      </w:r>
      <w:r w:rsidRPr="009B42F8">
        <w:rPr>
          <w:rFonts w:ascii="Segoe UI" w:eastAsia="Times New Roman" w:hAnsi="Segoe UI" w:cs="Segoe UI"/>
          <w:color w:val="D1D5DB"/>
          <w:sz w:val="24"/>
          <w:szCs w:val="24"/>
        </w:rPr>
        <w:t xml:space="preserve"> consist of </w:t>
      </w:r>
      <w:r w:rsidR="004A7302">
        <w:rPr>
          <w:rFonts w:ascii="Segoe UI" w:eastAsia="Times New Roman" w:hAnsi="Segoe UI" w:cs="Segoe UI"/>
          <w:color w:val="D1D5DB"/>
          <w:sz w:val="24"/>
          <w:szCs w:val="24"/>
        </w:rPr>
        <w:t>one of our listed</w:t>
      </w:r>
      <w:r w:rsidRPr="009B42F8">
        <w:rPr>
          <w:rFonts w:ascii="Segoe UI" w:eastAsia="Times New Roman" w:hAnsi="Segoe UI" w:cs="Segoe UI"/>
          <w:color w:val="D1D5DB"/>
          <w:sz w:val="24"/>
          <w:szCs w:val="24"/>
        </w:rPr>
        <w:t xml:space="preserve"> monologue</w:t>
      </w:r>
      <w:r w:rsidR="004A7302">
        <w:rPr>
          <w:rFonts w:ascii="Segoe UI" w:eastAsia="Times New Roman" w:hAnsi="Segoe UI" w:cs="Segoe UI"/>
          <w:color w:val="D1D5DB"/>
          <w:sz w:val="24"/>
          <w:szCs w:val="24"/>
        </w:rPr>
        <w:t xml:space="preserve"> scripts and should be no longer than 1 minute</w:t>
      </w:r>
      <w:r w:rsidRPr="009B42F8">
        <w:rPr>
          <w:rFonts w:ascii="Segoe UI" w:eastAsia="Times New Roman" w:hAnsi="Segoe UI" w:cs="Segoe UI"/>
          <w:color w:val="D1D5DB"/>
          <w:sz w:val="24"/>
          <w:szCs w:val="24"/>
        </w:rPr>
        <w:t>.</w:t>
      </w:r>
      <w:bookmarkStart w:id="0" w:name="_GoBack"/>
      <w:bookmarkEnd w:id="0"/>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The audition video should showcase your acting skills and must be in line with the character you are auditioning for.</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The audition video must not contain any offensive or inappropriate content.</w:t>
      </w:r>
    </w:p>
    <w:p w:rsidR="009B42F8" w:rsidRPr="009B42F8" w:rsidRDefault="009B42F8" w:rsidP="009B42F8">
      <w:pPr>
        <w:numPr>
          <w:ilvl w:val="0"/>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Ownership and Rights:</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All audition videos submitted to Deep Thoughts Projects become the sole property of Deep Thoughts Projects.</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By accepting and submitting your monologue video, you grant Deep Thoughts Projects the perpetual, irrevocable, and worldwide right to use the video for advertising and promotional purposes in connection with the Hackman Series.</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You acknowledge that you will not receive any compensation or payment for the use of your audition video.</w:t>
      </w:r>
    </w:p>
    <w:p w:rsidR="009B42F8" w:rsidRPr="009B42F8" w:rsidRDefault="009B42F8" w:rsidP="009B42F8">
      <w:pPr>
        <w:numPr>
          <w:ilvl w:val="0"/>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Non-Disclosure Agreement:</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You agree not to disclose any information related to the Hackman Series or the audition process to any third party.</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You agree not to use any information or material related to the Hackman Series or the audition process for any purpose other than participation in the audition.</w:t>
      </w:r>
    </w:p>
    <w:p w:rsidR="009B42F8" w:rsidRPr="009B42F8" w:rsidRDefault="009B42F8" w:rsidP="009B42F8">
      <w:pPr>
        <w:numPr>
          <w:ilvl w:val="0"/>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Disqualification:</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Deep Thoughts Projects reserves the right to disqualify any applicant for any reason, including but not limited to violation of the terms and conditions or submission of inappropriate content.</w:t>
      </w:r>
    </w:p>
    <w:p w:rsidR="009B42F8" w:rsidRPr="009B42F8" w:rsidRDefault="009B42F8" w:rsidP="009B42F8">
      <w:pPr>
        <w:numPr>
          <w:ilvl w:val="1"/>
          <w:numId w:val="1"/>
        </w:numPr>
        <w:pBdr>
          <w:top w:val="single" w:sz="2" w:space="0" w:color="D9D9E3"/>
          <w:left w:val="single" w:sz="2" w:space="5" w:color="D9D9E3"/>
          <w:bottom w:val="single" w:sz="2" w:space="0" w:color="D9D9E3"/>
          <w:right w:val="single" w:sz="2" w:space="0" w:color="D9D9E3"/>
        </w:pBdr>
        <w:shd w:val="clear" w:color="auto" w:fill="444654"/>
        <w:spacing w:after="0" w:line="240" w:lineRule="auto"/>
        <w:ind w:left="0"/>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Deep Thoughts Projects reserves the right to cancel or modify the audition process at any time, without prior notice.</w:t>
      </w:r>
    </w:p>
    <w:p w:rsidR="009B42F8" w:rsidRPr="009B42F8" w:rsidRDefault="009B42F8" w:rsidP="009B42F8">
      <w:pPr>
        <w:pBdr>
          <w:top w:val="single" w:sz="2" w:space="0" w:color="D9D9E3"/>
          <w:left w:val="single" w:sz="2" w:space="0" w:color="D9D9E3"/>
          <w:bottom w:val="single" w:sz="2" w:space="0" w:color="D9D9E3"/>
          <w:right w:val="single" w:sz="2" w:space="0" w:color="D9D9E3"/>
        </w:pBdr>
        <w:shd w:val="clear" w:color="auto" w:fill="444654"/>
        <w:spacing w:before="300" w:after="0" w:line="240" w:lineRule="auto"/>
        <w:rPr>
          <w:rFonts w:ascii="Segoe UI" w:eastAsia="Times New Roman" w:hAnsi="Segoe UI" w:cs="Segoe UI"/>
          <w:color w:val="D1D5DB"/>
          <w:sz w:val="24"/>
          <w:szCs w:val="24"/>
        </w:rPr>
      </w:pPr>
      <w:r w:rsidRPr="009B42F8">
        <w:rPr>
          <w:rFonts w:ascii="Segoe UI" w:eastAsia="Times New Roman" w:hAnsi="Segoe UI" w:cs="Segoe UI"/>
          <w:color w:val="D1D5DB"/>
          <w:sz w:val="24"/>
          <w:szCs w:val="24"/>
        </w:rPr>
        <w:t>By accepting and submitting your monologue video, you acknowledge that you have read and agree to abide by the terms and conditions outlined above.</w:t>
      </w:r>
    </w:p>
    <w:p w:rsidR="009E5CFA" w:rsidRDefault="004A7302"/>
    <w:sectPr w:rsidR="009E5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579"/>
    <w:multiLevelType w:val="multilevel"/>
    <w:tmpl w:val="E50210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F8"/>
    <w:rsid w:val="004A7302"/>
    <w:rsid w:val="009B42F8"/>
    <w:rsid w:val="00C10568"/>
    <w:rsid w:val="00DB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163D4-A87F-48FB-9A7C-01CCF2BF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2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2023-04-09T22:42:00Z</dcterms:created>
  <dcterms:modified xsi:type="dcterms:W3CDTF">2023-04-09T22:58:00Z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86d29093-b9a4-40c4-ad68-ad060464d647</vt:lpwstr>
  </property>
</Properties>
</file>